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89EAA" w14:textId="2BC72CF1" w:rsidR="002F5410" w:rsidRPr="004D66E6" w:rsidRDefault="002F5410" w:rsidP="002F5410">
      <w:pPr>
        <w:jc w:val="right"/>
        <w:rPr>
          <w:sz w:val="26"/>
          <w:szCs w:val="26"/>
        </w:rPr>
      </w:pPr>
      <w:r w:rsidRPr="004D66E6">
        <w:rPr>
          <w:sz w:val="26"/>
          <w:szCs w:val="26"/>
        </w:rPr>
        <w:t xml:space="preserve">Приложение № </w:t>
      </w:r>
      <w:r w:rsidR="00111E4E">
        <w:rPr>
          <w:sz w:val="26"/>
          <w:szCs w:val="26"/>
        </w:rPr>
        <w:t>3</w:t>
      </w:r>
    </w:p>
    <w:p w14:paraId="169F214E" w14:textId="52646FF5" w:rsidR="002F5410" w:rsidRPr="004D66E6" w:rsidRDefault="002F5410" w:rsidP="002F5410">
      <w:pPr>
        <w:widowControl w:val="0"/>
        <w:tabs>
          <w:tab w:val="left" w:pos="7807"/>
        </w:tabs>
        <w:autoSpaceDE w:val="0"/>
        <w:autoSpaceDN w:val="0"/>
        <w:adjustRightInd w:val="0"/>
        <w:spacing w:line="360" w:lineRule="exact"/>
        <w:ind w:firstLine="709"/>
        <w:jc w:val="right"/>
        <w:rPr>
          <w:sz w:val="26"/>
          <w:szCs w:val="26"/>
        </w:rPr>
      </w:pPr>
    </w:p>
    <w:p w14:paraId="0495A80A" w14:textId="77777777" w:rsidR="004D66E6" w:rsidRDefault="004D66E6" w:rsidP="004D66E6">
      <w:pPr>
        <w:widowControl w:val="0"/>
        <w:tabs>
          <w:tab w:val="left" w:pos="7807"/>
        </w:tabs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14:paraId="71CD5858" w14:textId="6AF643D8" w:rsidR="002F5410" w:rsidRPr="00253EE8" w:rsidRDefault="004D66E6" w:rsidP="004D66E6">
      <w:pPr>
        <w:widowControl w:val="0"/>
        <w:tabs>
          <w:tab w:val="left" w:pos="7807"/>
        </w:tabs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Изменения и д</w:t>
      </w:r>
      <w:r w:rsidR="002F5410" w:rsidRPr="00253EE8">
        <w:rPr>
          <w:b/>
          <w:bCs/>
          <w:sz w:val="26"/>
          <w:szCs w:val="26"/>
        </w:rPr>
        <w:t xml:space="preserve">ополнения </w:t>
      </w:r>
    </w:p>
    <w:p w14:paraId="6DC30BD8" w14:textId="77777777" w:rsidR="002F5410" w:rsidRDefault="002F5410" w:rsidP="004D66E6">
      <w:pPr>
        <w:widowControl w:val="0"/>
        <w:tabs>
          <w:tab w:val="left" w:pos="7807"/>
        </w:tabs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253EE8">
        <w:rPr>
          <w:b/>
          <w:bCs/>
          <w:sz w:val="26"/>
          <w:szCs w:val="26"/>
        </w:rPr>
        <w:t>в Правила комплексных расчетов между железнодорожными администрациями государств – участников Содружества Независимых Государств, Грузии, Латвийской Республики, Литовской Республики, Эстонской Республики</w:t>
      </w:r>
      <w:r w:rsidR="00AB2B7D">
        <w:rPr>
          <w:b/>
          <w:bCs/>
          <w:sz w:val="26"/>
          <w:szCs w:val="26"/>
        </w:rPr>
        <w:t xml:space="preserve"> (ПКР)</w:t>
      </w:r>
    </w:p>
    <w:p w14:paraId="6EAA629D" w14:textId="77777777" w:rsidR="00DE5FFF" w:rsidRDefault="00DE5FFF" w:rsidP="004D66E6">
      <w:pPr>
        <w:widowControl w:val="0"/>
        <w:tabs>
          <w:tab w:val="left" w:pos="7807"/>
        </w:tabs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14:paraId="199618B3" w14:textId="77777777" w:rsidR="00DE5FFF" w:rsidRDefault="00DE5FFF" w:rsidP="002F5410">
      <w:pPr>
        <w:widowControl w:val="0"/>
        <w:tabs>
          <w:tab w:val="left" w:pos="7807"/>
        </w:tabs>
        <w:autoSpaceDE w:val="0"/>
        <w:autoSpaceDN w:val="0"/>
        <w:adjustRightInd w:val="0"/>
        <w:spacing w:line="360" w:lineRule="exact"/>
        <w:jc w:val="center"/>
        <w:rPr>
          <w:b/>
          <w:bCs/>
          <w:sz w:val="26"/>
          <w:szCs w:val="26"/>
        </w:rPr>
      </w:pPr>
    </w:p>
    <w:p w14:paraId="2E3E41A7" w14:textId="77777777" w:rsidR="00DE5FFF" w:rsidRDefault="00DE5FFF" w:rsidP="002F5410">
      <w:pPr>
        <w:widowControl w:val="0"/>
        <w:tabs>
          <w:tab w:val="left" w:pos="7807"/>
        </w:tabs>
        <w:autoSpaceDE w:val="0"/>
        <w:autoSpaceDN w:val="0"/>
        <w:adjustRightInd w:val="0"/>
        <w:spacing w:line="360" w:lineRule="exact"/>
        <w:jc w:val="center"/>
        <w:rPr>
          <w:b/>
          <w:bCs/>
          <w:sz w:val="26"/>
          <w:szCs w:val="26"/>
        </w:rPr>
      </w:pPr>
    </w:p>
    <w:p w14:paraId="455773E0" w14:textId="2C771C7F" w:rsidR="004A0AD4" w:rsidRPr="001E6A88" w:rsidRDefault="004A0AD4" w:rsidP="004A0AD4">
      <w:pPr>
        <w:pStyle w:val="4"/>
        <w:tabs>
          <w:tab w:val="left" w:pos="1312"/>
        </w:tabs>
        <w:spacing w:before="0" w:line="240" w:lineRule="auto"/>
        <w:ind w:right="20" w:firstLine="709"/>
        <w:jc w:val="both"/>
        <w:rPr>
          <w:rFonts w:eastAsiaTheme="minorHAnsi"/>
          <w:color w:val="auto"/>
          <w:lang w:eastAsia="en-US"/>
        </w:rPr>
      </w:pPr>
      <w:r w:rsidRPr="001E6A88">
        <w:rPr>
          <w:rFonts w:eastAsiaTheme="minorHAnsi"/>
          <w:color w:val="auto"/>
          <w:lang w:eastAsia="en-US"/>
        </w:rPr>
        <w:t>1. Подпункты 3, 6 пункта 2.1.1 «Оформленные билеты и плацкарты, в том числе по транспортным требованиям, сервисные услуги, багаж, грузобагаж и почта», подпункт 2 пункта 2.2.3 «Пользование грузовыми вагонами», подпункт 2 пункта 2.2.13 «Пользование универсальными контейнерами» ПКР дополнить новым абзацем в редакции:</w:t>
      </w:r>
    </w:p>
    <w:p w14:paraId="47054253" w14:textId="545006CE" w:rsidR="004A0AD4" w:rsidRPr="001E6A88" w:rsidRDefault="004A0AD4" w:rsidP="004A0AD4">
      <w:pPr>
        <w:pStyle w:val="4"/>
        <w:shd w:val="clear" w:color="auto" w:fill="auto"/>
        <w:tabs>
          <w:tab w:val="left" w:pos="1312"/>
        </w:tabs>
        <w:spacing w:before="0" w:line="240" w:lineRule="auto"/>
        <w:ind w:right="20" w:firstLine="709"/>
        <w:jc w:val="both"/>
        <w:rPr>
          <w:rFonts w:eastAsiaTheme="minorHAnsi"/>
          <w:color w:val="auto"/>
          <w:lang w:eastAsia="en-US"/>
        </w:rPr>
      </w:pPr>
      <w:r w:rsidRPr="001E6A88">
        <w:rPr>
          <w:rFonts w:eastAsiaTheme="minorHAnsi"/>
          <w:color w:val="auto"/>
          <w:lang w:eastAsia="en-US"/>
        </w:rPr>
        <w:t xml:space="preserve"> «Если 06 (шестое) число месяца, следующего за расчетным, приходится на нерабочий день, то указанные расчетные документы и сопроводительные письма к ним направляются всем причастным железнодорожным администрациям не позднее первого рабочего дня, следующего за нерабочим днем.».</w:t>
      </w:r>
    </w:p>
    <w:p w14:paraId="69D534D1" w14:textId="708D0AD3" w:rsidR="004A0AD4" w:rsidRPr="001E6A88" w:rsidRDefault="004A0AD4" w:rsidP="004A0AD4">
      <w:pPr>
        <w:pStyle w:val="4"/>
        <w:shd w:val="clear" w:color="auto" w:fill="auto"/>
        <w:tabs>
          <w:tab w:val="left" w:pos="1312"/>
        </w:tabs>
        <w:spacing w:before="0" w:line="240" w:lineRule="auto"/>
        <w:ind w:right="20" w:firstLine="709"/>
        <w:jc w:val="both"/>
        <w:rPr>
          <w:rFonts w:eastAsiaTheme="minorHAnsi"/>
          <w:color w:val="auto"/>
          <w:lang w:eastAsia="en-US"/>
        </w:rPr>
      </w:pPr>
      <w:r w:rsidRPr="001E6A88">
        <w:rPr>
          <w:color w:val="auto"/>
          <w:sz w:val="22"/>
          <w:szCs w:val="22"/>
        </w:rPr>
        <w:t>2. П</w:t>
      </w:r>
      <w:r w:rsidRPr="001E6A88">
        <w:rPr>
          <w:rFonts w:eastAsiaTheme="minorHAnsi"/>
          <w:color w:val="auto"/>
          <w:lang w:eastAsia="en-US"/>
        </w:rPr>
        <w:t>ервое предложение</w:t>
      </w:r>
      <w:r w:rsidRPr="001E6A88">
        <w:rPr>
          <w:color w:val="auto"/>
          <w:sz w:val="22"/>
          <w:szCs w:val="22"/>
        </w:rPr>
        <w:t xml:space="preserve"> </w:t>
      </w:r>
      <w:r w:rsidRPr="001E6A88">
        <w:rPr>
          <w:rFonts w:eastAsiaTheme="minorHAnsi"/>
          <w:color w:val="auto"/>
          <w:lang w:eastAsia="en-US"/>
        </w:rPr>
        <w:t xml:space="preserve">подпункта 4 пункта 2.2.2 «Перевозка домашних вещей» изложить в редакции: </w:t>
      </w:r>
    </w:p>
    <w:p w14:paraId="3358250C" w14:textId="77777777" w:rsidR="004A0AD4" w:rsidRPr="001E6A88" w:rsidRDefault="004A0AD4" w:rsidP="004A0AD4">
      <w:pPr>
        <w:pStyle w:val="4"/>
        <w:shd w:val="clear" w:color="auto" w:fill="auto"/>
        <w:tabs>
          <w:tab w:val="left" w:pos="1312"/>
        </w:tabs>
        <w:spacing w:before="0" w:line="240" w:lineRule="auto"/>
        <w:ind w:right="20" w:firstLine="709"/>
        <w:jc w:val="both"/>
        <w:rPr>
          <w:rFonts w:eastAsiaTheme="minorHAnsi"/>
          <w:color w:val="auto"/>
          <w:lang w:eastAsia="en-US"/>
        </w:rPr>
      </w:pPr>
      <w:r w:rsidRPr="001E6A88">
        <w:rPr>
          <w:rFonts w:eastAsiaTheme="minorHAnsi"/>
          <w:color w:val="auto"/>
          <w:lang w:eastAsia="en-US"/>
        </w:rPr>
        <w:t>«Итоговая сумма расчетной ведомости за перевозку домашних вещей включается на последнее число месяца оказания услуг»;</w:t>
      </w:r>
    </w:p>
    <w:p w14:paraId="5791FF25" w14:textId="77777777" w:rsidR="004A0AD4" w:rsidRPr="001E6A88" w:rsidRDefault="004A0AD4" w:rsidP="004A0AD4">
      <w:pPr>
        <w:pStyle w:val="4"/>
        <w:shd w:val="clear" w:color="auto" w:fill="auto"/>
        <w:tabs>
          <w:tab w:val="left" w:pos="1010"/>
        </w:tabs>
        <w:spacing w:before="0" w:line="240" w:lineRule="auto"/>
        <w:ind w:right="20" w:firstLine="709"/>
        <w:jc w:val="both"/>
        <w:rPr>
          <w:rFonts w:eastAsiaTheme="minorHAnsi"/>
          <w:color w:val="auto"/>
          <w:lang w:eastAsia="en-US"/>
        </w:rPr>
      </w:pPr>
      <w:r w:rsidRPr="001E6A88">
        <w:rPr>
          <w:rFonts w:eastAsiaTheme="minorHAnsi"/>
          <w:color w:val="auto"/>
          <w:lang w:eastAsia="en-US"/>
        </w:rPr>
        <w:t>- в подпункте 2 пункта 2.2.10 «Возврат порожних арендованных вагонов»:</w:t>
      </w:r>
    </w:p>
    <w:p w14:paraId="16F61AB7" w14:textId="77777777" w:rsidR="004A0AD4" w:rsidRPr="001E6A88" w:rsidRDefault="004A0AD4" w:rsidP="004A0AD4">
      <w:pPr>
        <w:pStyle w:val="4"/>
        <w:numPr>
          <w:ilvl w:val="0"/>
          <w:numId w:val="2"/>
        </w:numPr>
        <w:shd w:val="clear" w:color="auto" w:fill="auto"/>
        <w:tabs>
          <w:tab w:val="left" w:pos="906"/>
        </w:tabs>
        <w:spacing w:before="0" w:line="240" w:lineRule="auto"/>
        <w:ind w:left="20" w:firstLine="709"/>
        <w:jc w:val="both"/>
        <w:rPr>
          <w:rFonts w:eastAsiaTheme="minorHAnsi"/>
          <w:color w:val="auto"/>
          <w:lang w:eastAsia="en-US"/>
        </w:rPr>
      </w:pPr>
      <w:r w:rsidRPr="001E6A88">
        <w:rPr>
          <w:rFonts w:eastAsiaTheme="minorHAnsi"/>
          <w:color w:val="auto"/>
          <w:lang w:eastAsia="en-US"/>
        </w:rPr>
        <w:t>слова «до 25 (двадцать пятого)» заменить на слова «до 6 (шестого)»;</w:t>
      </w:r>
    </w:p>
    <w:p w14:paraId="7A6BA403" w14:textId="47394D7A" w:rsidR="004A0AD4" w:rsidRPr="001E6A88" w:rsidRDefault="004A0AD4" w:rsidP="004A0AD4">
      <w:pPr>
        <w:pStyle w:val="4"/>
        <w:numPr>
          <w:ilvl w:val="0"/>
          <w:numId w:val="2"/>
        </w:numPr>
        <w:shd w:val="clear" w:color="auto" w:fill="auto"/>
        <w:tabs>
          <w:tab w:val="left" w:pos="891"/>
        </w:tabs>
        <w:spacing w:before="0" w:line="240" w:lineRule="auto"/>
        <w:ind w:left="20" w:right="20" w:firstLine="709"/>
        <w:jc w:val="both"/>
        <w:rPr>
          <w:rFonts w:eastAsiaTheme="minorHAnsi"/>
          <w:color w:val="auto"/>
          <w:lang w:eastAsia="en-US"/>
        </w:rPr>
      </w:pPr>
      <w:r w:rsidRPr="001E6A88">
        <w:rPr>
          <w:rFonts w:eastAsiaTheme="minorHAnsi"/>
          <w:color w:val="auto"/>
          <w:lang w:eastAsia="en-US"/>
        </w:rPr>
        <w:t>во втором абзаце после слова «включается» дополнить словами «на последнее число месяца оказания услуг».</w:t>
      </w:r>
    </w:p>
    <w:p w14:paraId="57A53C91" w14:textId="6DE546EC" w:rsidR="00DE5FFF" w:rsidRPr="001E6A88" w:rsidRDefault="004A0AD4" w:rsidP="00DE5FFF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 w:rsidRPr="001E6A88">
        <w:rPr>
          <w:color w:val="auto"/>
          <w:sz w:val="26"/>
          <w:szCs w:val="26"/>
        </w:rPr>
        <w:t>3. Д</w:t>
      </w:r>
      <w:r w:rsidR="00DE5FFF" w:rsidRPr="001E6A88">
        <w:rPr>
          <w:color w:val="auto"/>
          <w:sz w:val="26"/>
          <w:szCs w:val="26"/>
        </w:rPr>
        <w:t>ополнить пункт 3.9 «Пени за просрочку платежей по сальдовым и платежным ведомостям» новым подпунктом 4 в редакции, изменив нумерацию следующих подпунктов:</w:t>
      </w:r>
    </w:p>
    <w:p w14:paraId="791164A2" w14:textId="227725E6" w:rsidR="00DE5FFF" w:rsidRPr="001E6A88" w:rsidRDefault="00DE5FFF" w:rsidP="00DE5FFF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1E6A88">
        <w:rPr>
          <w:color w:val="auto"/>
          <w:sz w:val="26"/>
          <w:szCs w:val="26"/>
        </w:rPr>
        <w:t xml:space="preserve">«4. В случае несвоевременной оплаты платежного сальдо по независящим от железнодорожной администрации-дебитора причинам, по согласованию с железнодорожной администрацией-кредитором, железнодорожная администрация-дебитор освобождается от оплаты процентов (пени) по просроченным платежам. </w:t>
      </w:r>
      <w:r w:rsidRPr="001E6A88">
        <w:rPr>
          <w:color w:val="auto"/>
          <w:sz w:val="26"/>
          <w:szCs w:val="26"/>
        </w:rPr>
        <w:br/>
        <w:t>Условия освобождения согласовываются в двустороннем порядке между железнодорожной администрацией-дебитором и железнодорожной администрацией-кредитором.»</w:t>
      </w:r>
      <w:r w:rsidR="004A0AD4" w:rsidRPr="001E6A88">
        <w:rPr>
          <w:color w:val="auto"/>
          <w:sz w:val="26"/>
          <w:szCs w:val="26"/>
        </w:rPr>
        <w:t>.</w:t>
      </w:r>
    </w:p>
    <w:p w14:paraId="790495C6" w14:textId="0FDEB8C2" w:rsidR="00DE5FFF" w:rsidRPr="001E6A88" w:rsidRDefault="004A0AD4" w:rsidP="00DE5FFF">
      <w:pPr>
        <w:pStyle w:val="4"/>
        <w:shd w:val="clear" w:color="auto" w:fill="auto"/>
        <w:tabs>
          <w:tab w:val="left" w:pos="1312"/>
        </w:tabs>
        <w:spacing w:before="0" w:line="240" w:lineRule="auto"/>
        <w:ind w:right="20" w:firstLine="709"/>
        <w:jc w:val="both"/>
        <w:rPr>
          <w:rFonts w:eastAsiaTheme="minorHAnsi"/>
          <w:color w:val="auto"/>
          <w:lang w:eastAsia="en-US"/>
        </w:rPr>
      </w:pPr>
      <w:r w:rsidRPr="001E6A88">
        <w:rPr>
          <w:rFonts w:eastAsiaTheme="minorHAnsi"/>
          <w:color w:val="auto"/>
          <w:lang w:eastAsia="en-US"/>
        </w:rPr>
        <w:t>4. В</w:t>
      </w:r>
      <w:r w:rsidR="00DE5FFF" w:rsidRPr="001E6A88">
        <w:rPr>
          <w:rFonts w:eastAsiaTheme="minorHAnsi"/>
          <w:color w:val="auto"/>
          <w:lang w:eastAsia="en-US"/>
        </w:rPr>
        <w:t xml:space="preserve"> пункте 3.1. Приложения В к ПКР «Порядок предоставления железнодорожными администрациями услуг по проведению централизованных комплексных расчетов участникам рынка международных транспортных услуг»  изменить ссылку на Приложение к ОП СМПС  и вместо текста «…в Приложении №1 к §3 Служебной инструкции…» записать текст в редакции «…в Приложении №4 к ОП СМПС»</w:t>
      </w:r>
      <w:r w:rsidRPr="001E6A88">
        <w:rPr>
          <w:rFonts w:eastAsiaTheme="minorHAnsi"/>
          <w:color w:val="auto"/>
          <w:lang w:eastAsia="en-US"/>
        </w:rPr>
        <w:t>.</w:t>
      </w:r>
    </w:p>
    <w:p w14:paraId="3FF2D35A" w14:textId="6E62A90A" w:rsidR="00DE5FFF" w:rsidRPr="001E6A88" w:rsidRDefault="00426106" w:rsidP="00DE5FFF">
      <w:pPr>
        <w:pStyle w:val="4"/>
        <w:shd w:val="clear" w:color="auto" w:fill="auto"/>
        <w:spacing w:before="0" w:line="240" w:lineRule="auto"/>
        <w:ind w:right="23" w:firstLine="709"/>
        <w:jc w:val="both"/>
        <w:rPr>
          <w:rFonts w:eastAsiaTheme="minorHAnsi"/>
          <w:color w:val="auto"/>
          <w:lang w:eastAsia="en-US"/>
        </w:rPr>
      </w:pPr>
      <w:r w:rsidRPr="001E6A88">
        <w:rPr>
          <w:rFonts w:eastAsiaTheme="minorHAnsi"/>
          <w:color w:val="auto"/>
          <w:lang w:eastAsia="en-US"/>
        </w:rPr>
        <w:t>5. А</w:t>
      </w:r>
      <w:r w:rsidR="00DE5FFF" w:rsidRPr="001E6A88">
        <w:rPr>
          <w:rFonts w:eastAsiaTheme="minorHAnsi"/>
          <w:color w:val="auto"/>
          <w:lang w:eastAsia="en-US"/>
        </w:rPr>
        <w:t xml:space="preserve">бзацы 6, 7 Приложения М к ПКР «Порядок проведения клиринговых операций» изложить в редакции: </w:t>
      </w:r>
    </w:p>
    <w:p w14:paraId="61A2F870" w14:textId="77777777" w:rsidR="00DE5FFF" w:rsidRDefault="00DE5FFF" w:rsidP="00DE5FFF">
      <w:pPr>
        <w:pStyle w:val="4"/>
        <w:shd w:val="clear" w:color="auto" w:fill="auto"/>
        <w:spacing w:before="0" w:line="240" w:lineRule="auto"/>
        <w:ind w:right="23" w:firstLine="709"/>
        <w:jc w:val="both"/>
        <w:rPr>
          <w:rFonts w:eastAsiaTheme="minorHAnsi"/>
          <w:lang w:eastAsia="en-US"/>
        </w:rPr>
      </w:pPr>
      <w:r w:rsidRPr="001E6A88">
        <w:rPr>
          <w:rFonts w:eastAsiaTheme="minorHAnsi"/>
          <w:color w:val="auto"/>
          <w:lang w:eastAsia="en-US"/>
        </w:rPr>
        <w:t xml:space="preserve">«Клиринговые операции проводятся уполномоченной организацией проведения клиринговых </w:t>
      </w:r>
      <w:r>
        <w:rPr>
          <w:rFonts w:eastAsiaTheme="minorHAnsi"/>
          <w:lang w:eastAsia="en-US"/>
        </w:rPr>
        <w:t xml:space="preserve">операций путем сопоставления данных </w:t>
      </w:r>
      <w:r>
        <w:rPr>
          <w:rFonts w:eastAsiaTheme="minorHAnsi"/>
          <w:lang w:eastAsia="en-US"/>
        </w:rPr>
        <w:lastRenderedPageBreak/>
        <w:t xml:space="preserve">железнодорожных администраций по суммам сальдо расчетов, причитающихся по сальдовым или платежным ведомостям за отчетный период в швейцарских франках. По согласованию между железнодорожными администрациями в клиринговые операции могут включаться платежные (сальдовые) ведомости других периодов. </w:t>
      </w:r>
    </w:p>
    <w:p w14:paraId="4421CB3C" w14:textId="77777777" w:rsidR="00DE5FFF" w:rsidRDefault="00DE5FFF" w:rsidP="00DE5FFF">
      <w:pPr>
        <w:pStyle w:val="4"/>
        <w:shd w:val="clear" w:color="auto" w:fill="auto"/>
        <w:spacing w:before="0" w:line="240" w:lineRule="auto"/>
        <w:ind w:right="23"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Железнодорожные администрации – участницы клиринговых операций в срок до 11 числа месяца, следующего за месяцем составления сальдовой ведомости и бухгалтерских выписок, направляют данные по платежному сальдо (с учетом пересчета других валют в швейцарские франки), платежные (сальдовые) ведомости других периодов (при наличии согласия  причастных железнодорожных администраций), в ИВЦ ЖА по структуре файла формы Приложения № 1 к настоящему Порядку.».</w:t>
      </w:r>
    </w:p>
    <w:p w14:paraId="5F7EA1E0" w14:textId="77777777" w:rsidR="00DE5FFF" w:rsidRDefault="00DE5FFF" w:rsidP="00DE5FFF">
      <w:pPr>
        <w:widowControl w:val="0"/>
        <w:tabs>
          <w:tab w:val="left" w:pos="7807"/>
        </w:tabs>
        <w:autoSpaceDE w:val="0"/>
        <w:autoSpaceDN w:val="0"/>
        <w:adjustRightInd w:val="0"/>
        <w:spacing w:line="360" w:lineRule="exact"/>
        <w:jc w:val="left"/>
        <w:rPr>
          <w:b/>
          <w:bCs/>
          <w:sz w:val="26"/>
          <w:szCs w:val="26"/>
        </w:rPr>
      </w:pPr>
    </w:p>
    <w:p w14:paraId="1814E97E" w14:textId="77777777" w:rsidR="00F51839" w:rsidRDefault="00F51839"/>
    <w:sectPr w:rsidR="00F51839" w:rsidSect="00F51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DF1F8" w14:textId="77777777" w:rsidR="001918AD" w:rsidRDefault="001918AD" w:rsidP="00297767">
      <w:r>
        <w:separator/>
      </w:r>
    </w:p>
  </w:endnote>
  <w:endnote w:type="continuationSeparator" w:id="0">
    <w:p w14:paraId="4693E53C" w14:textId="77777777" w:rsidR="001918AD" w:rsidRDefault="001918AD" w:rsidP="00297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CA7DF" w14:textId="77777777" w:rsidR="001918AD" w:rsidRDefault="001918AD" w:rsidP="00297767">
      <w:r>
        <w:separator/>
      </w:r>
    </w:p>
  </w:footnote>
  <w:footnote w:type="continuationSeparator" w:id="0">
    <w:p w14:paraId="52C60120" w14:textId="77777777" w:rsidR="001918AD" w:rsidRDefault="001918AD" w:rsidP="002977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D1098"/>
    <w:multiLevelType w:val="multilevel"/>
    <w:tmpl w:val="B2D4113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DF21250"/>
    <w:multiLevelType w:val="hybridMultilevel"/>
    <w:tmpl w:val="C700BCE8"/>
    <w:lvl w:ilvl="0" w:tplc="BAE2F01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137337418">
    <w:abstractNumId w:val="1"/>
  </w:num>
  <w:num w:numId="2" w16cid:durableId="2039156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5410"/>
    <w:rsid w:val="00014605"/>
    <w:rsid w:val="00060AD1"/>
    <w:rsid w:val="000820BA"/>
    <w:rsid w:val="00111E4E"/>
    <w:rsid w:val="00140DCD"/>
    <w:rsid w:val="00173292"/>
    <w:rsid w:val="001918AD"/>
    <w:rsid w:val="001942E8"/>
    <w:rsid w:val="001E6A88"/>
    <w:rsid w:val="002471DD"/>
    <w:rsid w:val="00297767"/>
    <w:rsid w:val="002D132A"/>
    <w:rsid w:val="002F5410"/>
    <w:rsid w:val="00370E1C"/>
    <w:rsid w:val="003E19A4"/>
    <w:rsid w:val="004050F5"/>
    <w:rsid w:val="00426106"/>
    <w:rsid w:val="00435F71"/>
    <w:rsid w:val="00436AE0"/>
    <w:rsid w:val="004A0AD4"/>
    <w:rsid w:val="004D66E6"/>
    <w:rsid w:val="004F4A02"/>
    <w:rsid w:val="00502116"/>
    <w:rsid w:val="00656196"/>
    <w:rsid w:val="006804D0"/>
    <w:rsid w:val="006D29A9"/>
    <w:rsid w:val="006F4929"/>
    <w:rsid w:val="00704614"/>
    <w:rsid w:val="00722C9F"/>
    <w:rsid w:val="008159BD"/>
    <w:rsid w:val="00880FF0"/>
    <w:rsid w:val="008812F6"/>
    <w:rsid w:val="0089570B"/>
    <w:rsid w:val="008E5C21"/>
    <w:rsid w:val="009B3197"/>
    <w:rsid w:val="00A16D1A"/>
    <w:rsid w:val="00A52818"/>
    <w:rsid w:val="00A8041A"/>
    <w:rsid w:val="00A84CD2"/>
    <w:rsid w:val="00AB2B7D"/>
    <w:rsid w:val="00AB7DE0"/>
    <w:rsid w:val="00B33648"/>
    <w:rsid w:val="00B60036"/>
    <w:rsid w:val="00B951B7"/>
    <w:rsid w:val="00BC78C8"/>
    <w:rsid w:val="00BE4A62"/>
    <w:rsid w:val="00C31FA5"/>
    <w:rsid w:val="00CE1B48"/>
    <w:rsid w:val="00D40B97"/>
    <w:rsid w:val="00D56F52"/>
    <w:rsid w:val="00DA3378"/>
    <w:rsid w:val="00DA3A35"/>
    <w:rsid w:val="00DB3035"/>
    <w:rsid w:val="00DE5FFF"/>
    <w:rsid w:val="00E3360E"/>
    <w:rsid w:val="00E6164E"/>
    <w:rsid w:val="00ED54AD"/>
    <w:rsid w:val="00EF292D"/>
    <w:rsid w:val="00EF4559"/>
    <w:rsid w:val="00F35B68"/>
    <w:rsid w:val="00F40A78"/>
    <w:rsid w:val="00F51839"/>
    <w:rsid w:val="00F94DF2"/>
    <w:rsid w:val="00F96EA5"/>
    <w:rsid w:val="00FB720F"/>
    <w:rsid w:val="00FE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E9491"/>
  <w15:docId w15:val="{34474D2C-C047-4BAA-9C2D-F6BA1BA07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54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4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541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977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977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9776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977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DE5F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4">
    <w:name w:val="Основной текст4"/>
    <w:basedOn w:val="a"/>
    <w:rsid w:val="00DE5FFF"/>
    <w:pPr>
      <w:shd w:val="clear" w:color="auto" w:fill="FFFFFF"/>
      <w:spacing w:before="120" w:line="0" w:lineRule="atLeast"/>
      <w:jc w:val="left"/>
    </w:pPr>
    <w:rPr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3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ЦСЖТ - Дирекция</dc:creator>
  <cp:lastModifiedBy>CSZT CSZT</cp:lastModifiedBy>
  <cp:revision>6</cp:revision>
  <cp:lastPrinted>2023-04-12T13:14:00Z</cp:lastPrinted>
  <dcterms:created xsi:type="dcterms:W3CDTF">2023-10-25T11:56:00Z</dcterms:created>
  <dcterms:modified xsi:type="dcterms:W3CDTF">2023-11-20T10:44:00Z</dcterms:modified>
</cp:coreProperties>
</file>